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«Корпоративные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ведение базы данных и поддержку информационного обеспечения решения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 знать инструменты и методы проектирования,  верификации структур баз данных, возможности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ИПК-10.2 знать предметную область автоматизации, теорию баз данных,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ИПК-10.4 уметь применять основы современных систем управления базами данных, применять основы программирования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ИПК-10.6 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организациях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ИПК-10.9 владеть инструментами и методами определения финансовых и производственных показателей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ИПК-10.10 владеть языками современных бизнес-приложений, основами Международных стандартов финансовой отчетности (МСФО)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ИПК-4.9 владеть методами анализа современных подходов и стандартов автоматизации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ИПК-4.10 владеть инструментами и методами определения финансовых и производственных показателей деятельности организаций, навыками работы с основами управления взаимоотношениями с клиентами и заказчиками (CRM)</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«Корпоративные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пракимка (преддипломная пракика)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ПК-10</w:t>
            </w:r>
          </w:p>
        </w:tc>
      </w:tr>
      <w:tr>
        <w:trPr>
          <w:trHeight w:hRule="exact" w:val="138.9152"/>
        </w:trPr>
        <w:tc>
          <w:tcPr>
            <w:tcW w:w="3970" w:type="dxa"/>
          </w:tcPr>
          <w:p/>
        </w:tc>
        <w:tc>
          <w:tcPr>
            <w:tcW w:w="4679" w:type="dxa"/>
          </w:tcPr>
          <w:p/>
        </w:tc>
        <w:tc>
          <w:tcPr>
            <w:tcW w:w="993" w:type="dxa"/>
          </w:tcPr>
          <w:p/>
        </w:tc>
      </w:tr>
      <w:tr>
        <w:trPr>
          <w:trHeight w:hRule="exact" w:val="623.13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итераций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архитектурного подхода, методология TOGAF.</w:t>
            </w:r>
          </w:p>
          <w:p>
            <w:pPr>
              <w:jc w:val="both"/>
              <w:spacing w:after="0" w:line="240" w:lineRule="auto"/>
              <w:rPr>
                <w:sz w:val="24"/>
                <w:szCs w:val="24"/>
              </w:rPr>
            </w:pPr>
            <w:r>
              <w:rPr>
                <w:rFonts w:ascii="Times New Roman" w:hAnsi="Times New Roman" w:cs="Times New Roman"/>
                <w:color w:val="#000000"/>
                <w:sz w:val="24"/>
                <w:szCs w:val="24"/>
              </w:rPr>
              <w:t> Функциональное и процессное управление.</w:t>
            </w:r>
          </w:p>
          <w:p>
            <w:pPr>
              <w:jc w:val="both"/>
              <w:spacing w:after="0" w:line="240" w:lineRule="auto"/>
              <w:rPr>
                <w:sz w:val="24"/>
                <w:szCs w:val="24"/>
              </w:rPr>
            </w:pPr>
            <w:r>
              <w:rPr>
                <w:rFonts w:ascii="Times New Roman" w:hAnsi="Times New Roman" w:cs="Times New Roman"/>
                <w:color w:val="#000000"/>
                <w:sz w:val="24"/>
                <w:szCs w:val="24"/>
              </w:rPr>
              <w:t> Система менеджмента качества (СМК).</w:t>
            </w:r>
          </w:p>
          <w:p>
            <w:pPr>
              <w:jc w:val="both"/>
              <w:spacing w:after="0" w:line="240" w:lineRule="auto"/>
              <w:rPr>
                <w:sz w:val="24"/>
                <w:szCs w:val="24"/>
              </w:rPr>
            </w:pPr>
            <w:r>
              <w:rPr>
                <w:rFonts w:ascii="Times New Roman" w:hAnsi="Times New Roman" w:cs="Times New Roman"/>
                <w:color w:val="#000000"/>
                <w:sz w:val="24"/>
                <w:szCs w:val="24"/>
              </w:rPr>
              <w:t> Модель бизнес-процессов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Определение бизнес-контекста КИС.</w:t>
            </w:r>
          </w:p>
          <w:p>
            <w:pPr>
              <w:jc w:val="both"/>
              <w:spacing w:after="0" w:line="240" w:lineRule="auto"/>
              <w:rPr>
                <w:sz w:val="24"/>
                <w:szCs w:val="24"/>
              </w:rPr>
            </w:pPr>
            <w:r>
              <w:rPr>
                <w:rFonts w:ascii="Times New Roman" w:hAnsi="Times New Roman" w:cs="Times New Roman"/>
                <w:color w:val="#000000"/>
                <w:sz w:val="24"/>
                <w:szCs w:val="24"/>
              </w:rPr>
              <w:t> Производственная компания как объект информационной системы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система управления предприятием корпоративного типа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информационных систем управления предприятием.</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стратегического менеджмента, сбалансированная система показателей (BSC).</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Содержание проектов внедрения ИС в различных методологиях.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 функциональная декомпозиция 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 в различных средах.</w:t>
            </w:r>
          </w:p>
          <w:p>
            <w:pPr>
              <w:jc w:val="both"/>
              <w:spacing w:after="0" w:line="240" w:lineRule="auto"/>
              <w:rPr>
                <w:sz w:val="24"/>
                <w:szCs w:val="24"/>
              </w:rPr>
            </w:pPr>
            <w:r>
              <w:rPr>
                <w:rFonts w:ascii="Times New Roman" w:hAnsi="Times New Roman" w:cs="Times New Roman"/>
                <w:color w:val="#000000"/>
                <w:sz w:val="24"/>
                <w:szCs w:val="24"/>
              </w:rPr>
              <w:t> Планирование итераций.</w:t>
            </w:r>
          </w:p>
          <w:p>
            <w:pPr>
              <w:jc w:val="both"/>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p>
            <w:pPr>
              <w:jc w:val="both"/>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p>
            <w:pPr>
              <w:jc w:val="both"/>
              <w:spacing w:after="0" w:line="240" w:lineRule="auto"/>
              <w:rPr>
                <w:sz w:val="24"/>
                <w:szCs w:val="24"/>
              </w:rPr>
            </w:pPr>
            <w:r>
              <w:rPr>
                <w:rFonts w:ascii="Times New Roman" w:hAnsi="Times New Roman" w:cs="Times New Roman"/>
                <w:color w:val="#000000"/>
                <w:sz w:val="24"/>
                <w:szCs w:val="24"/>
              </w:rPr>
              <w:t>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типовых компонентов КИС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стратегического менеджмента (SEM)</w:t>
            </w:r>
          </w:p>
          <w:p>
            <w:pPr>
              <w:jc w:val="both"/>
              <w:spacing w:after="0" w:line="240" w:lineRule="auto"/>
              <w:rPr>
                <w:sz w:val="24"/>
                <w:szCs w:val="24"/>
              </w:rPr>
            </w:pPr>
            <w:r>
              <w:rPr>
                <w:rFonts w:ascii="Times New Roman" w:hAnsi="Times New Roman" w:cs="Times New Roman"/>
                <w:color w:val="#000000"/>
                <w:sz w:val="24"/>
                <w:szCs w:val="24"/>
              </w:rPr>
              <w:t> Системы планирования и управления производственными ресурсами (MRPII, ERP)</w:t>
            </w:r>
          </w:p>
          <w:p>
            <w:pPr>
              <w:jc w:val="both"/>
              <w:spacing w:after="0" w:line="240" w:lineRule="auto"/>
              <w:rPr>
                <w:sz w:val="24"/>
                <w:szCs w:val="24"/>
              </w:rPr>
            </w:pPr>
            <w:r>
              <w:rPr>
                <w:rFonts w:ascii="Times New Roman" w:hAnsi="Times New Roman" w:cs="Times New Roman"/>
                <w:color w:val="#000000"/>
                <w:sz w:val="24"/>
                <w:szCs w:val="24"/>
              </w:rPr>
              <w:t> Система управления отношениями с клиентами (CRM)</w:t>
            </w:r>
          </w:p>
          <w:p>
            <w:pPr>
              <w:jc w:val="both"/>
              <w:spacing w:after="0" w:line="240" w:lineRule="auto"/>
              <w:rPr>
                <w:sz w:val="24"/>
                <w:szCs w:val="24"/>
              </w:rPr>
            </w:pPr>
            <w:r>
              <w:rPr>
                <w:rFonts w:ascii="Times New Roman" w:hAnsi="Times New Roman" w:cs="Times New Roman"/>
                <w:color w:val="#000000"/>
                <w:sz w:val="24"/>
                <w:szCs w:val="24"/>
              </w:rPr>
              <w:t> Система управления логистическими цепочками (SCM)</w:t>
            </w:r>
          </w:p>
          <w:p>
            <w:pPr>
              <w:jc w:val="both"/>
              <w:spacing w:after="0" w:line="240" w:lineRule="auto"/>
              <w:rPr>
                <w:sz w:val="24"/>
                <w:szCs w:val="24"/>
              </w:rPr>
            </w:pPr>
            <w:r>
              <w:rPr>
                <w:rFonts w:ascii="Times New Roman" w:hAnsi="Times New Roman" w:cs="Times New Roman"/>
                <w:color w:val="#000000"/>
                <w:sz w:val="24"/>
                <w:szCs w:val="24"/>
              </w:rPr>
              <w:t> Система управления эффективностью бизнеса (BPM)</w:t>
            </w:r>
          </w:p>
          <w:p>
            <w:pPr>
              <w:jc w:val="both"/>
              <w:spacing w:after="0" w:line="240" w:lineRule="auto"/>
              <w:rPr>
                <w:sz w:val="24"/>
                <w:szCs w:val="24"/>
              </w:rPr>
            </w:pPr>
            <w:r>
              <w:rPr>
                <w:rFonts w:ascii="Times New Roman" w:hAnsi="Times New Roman" w:cs="Times New Roman"/>
                <w:color w:val="#000000"/>
                <w:sz w:val="24"/>
                <w:szCs w:val="24"/>
              </w:rPr>
              <w:t> Система управления финансовыми ресурсами (FRM) и бухгалтерского учета</w:t>
            </w:r>
          </w:p>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 ресурсами (HRM)</w:t>
            </w:r>
          </w:p>
          <w:p>
            <w:pPr>
              <w:jc w:val="both"/>
              <w:spacing w:after="0" w:line="240" w:lineRule="auto"/>
              <w:rPr>
                <w:sz w:val="24"/>
                <w:szCs w:val="24"/>
              </w:rPr>
            </w:pPr>
            <w:r>
              <w:rPr>
                <w:rFonts w:ascii="Times New Roman" w:hAnsi="Times New Roman" w:cs="Times New Roman"/>
                <w:color w:val="#000000"/>
                <w:sz w:val="24"/>
                <w:szCs w:val="24"/>
              </w:rPr>
              <w:t> Основные функциональные подсистемы и модули интегрированной информационной системы менеджмента производственного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корпоративного типа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вычислительные ресурсы и платформы.</w:t>
            </w:r>
          </w:p>
          <w:p>
            <w:pPr>
              <w:jc w:val="both"/>
              <w:spacing w:after="0" w:line="240" w:lineRule="auto"/>
              <w:rPr>
                <w:sz w:val="24"/>
                <w:szCs w:val="24"/>
              </w:rPr>
            </w:pPr>
            <w:r>
              <w:rPr>
                <w:rFonts w:ascii="Times New Roman" w:hAnsi="Times New Roman" w:cs="Times New Roman"/>
                <w:color w:val="#000000"/>
                <w:sz w:val="24"/>
                <w:szCs w:val="24"/>
              </w:rPr>
              <w:t> Центры обработки данных (ЦОД).</w:t>
            </w:r>
          </w:p>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 ресурсы (базы данных, хранилища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КИС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систем на промышленных предприятиях материального производства.</w:t>
            </w:r>
          </w:p>
          <w:p>
            <w:pPr>
              <w:jc w:val="both"/>
              <w:spacing w:after="0" w:line="240" w:lineRule="auto"/>
              <w:rPr>
                <w:sz w:val="24"/>
                <w:szCs w:val="24"/>
              </w:rPr>
            </w:pPr>
            <w:r>
              <w:rPr>
                <w:rFonts w:ascii="Times New Roman" w:hAnsi="Times New Roman" w:cs="Times New Roman"/>
                <w:color w:val="#000000"/>
                <w:sz w:val="24"/>
                <w:szCs w:val="24"/>
              </w:rPr>
              <w:t> Сервис-ориентированная архитектура КИС, облачные вычисления.</w:t>
            </w:r>
          </w:p>
          <w:p>
            <w:pPr>
              <w:jc w:val="both"/>
              <w:spacing w:after="0" w:line="240" w:lineRule="auto"/>
              <w:rPr>
                <w:sz w:val="24"/>
                <w:szCs w:val="24"/>
              </w:rPr>
            </w:pPr>
            <w:r>
              <w:rPr>
                <w:rFonts w:ascii="Times New Roman" w:hAnsi="Times New Roman" w:cs="Times New Roman"/>
                <w:color w:val="#000000"/>
                <w:sz w:val="24"/>
                <w:szCs w:val="24"/>
              </w:rPr>
              <w:t> CASE-технологии создания КИС</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Функциональное и процессное управление.</w:t>
            </w:r>
          </w:p>
          <w:p>
            <w:pPr>
              <w:jc w:val="both"/>
              <w:spacing w:after="0" w:line="240" w:lineRule="auto"/>
              <w:rPr>
                <w:sz w:val="24"/>
                <w:szCs w:val="24"/>
              </w:rPr>
            </w:pPr>
            <w:r>
              <w:rPr>
                <w:rFonts w:ascii="Times New Roman" w:hAnsi="Times New Roman" w:cs="Times New Roman"/>
                <w:color w:val="#000000"/>
                <w:sz w:val="24"/>
                <w:szCs w:val="24"/>
              </w:rPr>
              <w:t> Система менеджмента качества (СМК).</w:t>
            </w:r>
          </w:p>
          <w:p>
            <w:pPr>
              <w:jc w:val="both"/>
              <w:spacing w:after="0" w:line="240" w:lineRule="auto"/>
              <w:rPr>
                <w:sz w:val="24"/>
                <w:szCs w:val="24"/>
              </w:rPr>
            </w:pPr>
            <w:r>
              <w:rPr>
                <w:rFonts w:ascii="Times New Roman" w:hAnsi="Times New Roman" w:cs="Times New Roman"/>
                <w:color w:val="#000000"/>
                <w:sz w:val="24"/>
                <w:szCs w:val="24"/>
              </w:rPr>
              <w:t> Модель бизнес-процессов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Определение бизнес-контекста КИС.</w:t>
            </w:r>
          </w:p>
          <w:p>
            <w:pPr>
              <w:jc w:val="both"/>
              <w:spacing w:after="0" w:line="240" w:lineRule="auto"/>
              <w:rPr>
                <w:sz w:val="24"/>
                <w:szCs w:val="24"/>
              </w:rPr>
            </w:pPr>
            <w:r>
              <w:rPr>
                <w:rFonts w:ascii="Times New Roman" w:hAnsi="Times New Roman" w:cs="Times New Roman"/>
                <w:color w:val="#000000"/>
                <w:sz w:val="24"/>
                <w:szCs w:val="24"/>
              </w:rPr>
              <w:t> Производственная компания как объект информационной системы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система управления предприятием корпоративного типа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стратегического менеджмента, сбалансированная система показателей (BSC).</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Содержание проектов внедрения ИС в различных методологиях.</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p>
            <w:pPr>
              <w:jc w:val="both"/>
              <w:spacing w:after="0" w:line="240" w:lineRule="auto"/>
              <w:rPr>
                <w:sz w:val="24"/>
                <w:szCs w:val="24"/>
              </w:rPr>
            </w:pPr>
            <w:r>
              <w:rPr>
                <w:rFonts w:ascii="Times New Roman" w:hAnsi="Times New Roman" w:cs="Times New Roman"/>
                <w:color w:val="#000000"/>
                <w:sz w:val="24"/>
                <w:szCs w:val="24"/>
              </w:rPr>
              <w:t> Планирование итераций.</w:t>
            </w:r>
          </w:p>
          <w:p>
            <w:pPr>
              <w:jc w:val="both"/>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p>
            <w:pPr>
              <w:jc w:val="both"/>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p>
            <w:pPr>
              <w:jc w:val="both"/>
              <w:spacing w:after="0" w:line="240" w:lineRule="auto"/>
              <w:rPr>
                <w:sz w:val="24"/>
                <w:szCs w:val="24"/>
              </w:rPr>
            </w:pPr>
            <w:r>
              <w:rPr>
                <w:rFonts w:ascii="Times New Roman" w:hAnsi="Times New Roman" w:cs="Times New Roman"/>
                <w:color w:val="#000000"/>
                <w:sz w:val="24"/>
                <w:szCs w:val="24"/>
              </w:rPr>
              <w:t>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функциональности и классов приложения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проекта моделирования программного приложения</w:t>
            </w:r>
          </w:p>
          <w:p>
            <w:pPr>
              <w:jc w:val="both"/>
              <w:spacing w:after="0" w:line="240" w:lineRule="auto"/>
              <w:rPr>
                <w:sz w:val="24"/>
                <w:szCs w:val="24"/>
              </w:rPr>
            </w:pPr>
            <w:r>
              <w:rPr>
                <w:rFonts w:ascii="Times New Roman" w:hAnsi="Times New Roman" w:cs="Times New Roman"/>
                <w:color w:val="#000000"/>
                <w:sz w:val="24"/>
                <w:szCs w:val="24"/>
              </w:rPr>
              <w:t> 2.	Схема классов UML</w:t>
            </w:r>
          </w:p>
          <w:p>
            <w:pPr>
              <w:jc w:val="both"/>
              <w:spacing w:after="0" w:line="240" w:lineRule="auto"/>
              <w:rPr>
                <w:sz w:val="24"/>
                <w:szCs w:val="24"/>
              </w:rPr>
            </w:pPr>
            <w:r>
              <w:rPr>
                <w:rFonts w:ascii="Times New Roman" w:hAnsi="Times New Roman" w:cs="Times New Roman"/>
                <w:color w:val="#000000"/>
                <w:sz w:val="24"/>
                <w:szCs w:val="24"/>
              </w:rPr>
              <w:t> 3.	Схема последовательностей UML</w:t>
            </w:r>
          </w:p>
          <w:p>
            <w:pPr>
              <w:jc w:val="both"/>
              <w:spacing w:after="0" w:line="240" w:lineRule="auto"/>
              <w:rPr>
                <w:sz w:val="24"/>
                <w:szCs w:val="24"/>
              </w:rPr>
            </w:pPr>
            <w:r>
              <w:rPr>
                <w:rFonts w:ascii="Times New Roman" w:hAnsi="Times New Roman" w:cs="Times New Roman"/>
                <w:color w:val="#000000"/>
                <w:sz w:val="24"/>
                <w:szCs w:val="24"/>
              </w:rPr>
              <w:t> 4.	Схема вариантов использования UML</w:t>
            </w:r>
          </w:p>
          <w:p>
            <w:pPr>
              <w:jc w:val="both"/>
              <w:spacing w:after="0" w:line="240" w:lineRule="auto"/>
              <w:rPr>
                <w:sz w:val="24"/>
                <w:szCs w:val="24"/>
              </w:rPr>
            </w:pPr>
            <w:r>
              <w:rPr>
                <w:rFonts w:ascii="Times New Roman" w:hAnsi="Times New Roman" w:cs="Times New Roman"/>
                <w:color w:val="#000000"/>
                <w:sz w:val="24"/>
                <w:szCs w:val="24"/>
              </w:rPr>
              <w:t> 5.	Схема активности UML</w:t>
            </w:r>
          </w:p>
          <w:p>
            <w:pPr>
              <w:jc w:val="both"/>
              <w:spacing w:after="0" w:line="240" w:lineRule="auto"/>
              <w:rPr>
                <w:sz w:val="24"/>
                <w:szCs w:val="24"/>
              </w:rPr>
            </w:pPr>
            <w:r>
              <w:rPr>
                <w:rFonts w:ascii="Times New Roman" w:hAnsi="Times New Roman" w:cs="Times New Roman"/>
                <w:color w:val="#000000"/>
                <w:sz w:val="24"/>
                <w:szCs w:val="24"/>
              </w:rPr>
              <w:t> 6.	Схема компонентов UML</w:t>
            </w:r>
          </w:p>
          <w:p>
            <w:pPr>
              <w:jc w:val="both"/>
              <w:spacing w:after="0" w:line="240" w:lineRule="auto"/>
              <w:rPr>
                <w:sz w:val="24"/>
                <w:szCs w:val="24"/>
              </w:rPr>
            </w:pPr>
            <w:r>
              <w:rPr>
                <w:rFonts w:ascii="Times New Roman" w:hAnsi="Times New Roman" w:cs="Times New Roman"/>
                <w:color w:val="#000000"/>
                <w:sz w:val="24"/>
                <w:szCs w:val="24"/>
              </w:rPr>
              <w:t> 7.	Схема слоев.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итераций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спринта</w:t>
            </w:r>
          </w:p>
          <w:p>
            <w:pPr>
              <w:jc w:val="both"/>
              <w:spacing w:after="0" w:line="240" w:lineRule="auto"/>
              <w:rPr>
                <w:sz w:val="24"/>
                <w:szCs w:val="24"/>
              </w:rPr>
            </w:pPr>
            <w:r>
              <w:rPr>
                <w:rFonts w:ascii="Times New Roman" w:hAnsi="Times New Roman" w:cs="Times New Roman"/>
                <w:color w:val="#000000"/>
                <w:sz w:val="24"/>
                <w:szCs w:val="24"/>
              </w:rPr>
              <w:t> 2.	Оценка объема/сложности элементов работы</w:t>
            </w:r>
          </w:p>
          <w:p>
            <w:pPr>
              <w:jc w:val="both"/>
              <w:spacing w:after="0" w:line="240" w:lineRule="auto"/>
              <w:rPr>
                <w:sz w:val="24"/>
                <w:szCs w:val="24"/>
              </w:rPr>
            </w:pPr>
            <w:r>
              <w:rPr>
                <w:rFonts w:ascii="Times New Roman" w:hAnsi="Times New Roman" w:cs="Times New Roman"/>
                <w:color w:val="#000000"/>
                <w:sz w:val="24"/>
                <w:szCs w:val="24"/>
              </w:rPr>
              <w:t> 3.	Назначение приоритетов рабочим элементам</w:t>
            </w:r>
          </w:p>
          <w:p>
            <w:pPr>
              <w:jc w:val="both"/>
              <w:spacing w:after="0" w:line="240" w:lineRule="auto"/>
              <w:rPr>
                <w:sz w:val="24"/>
                <w:szCs w:val="24"/>
              </w:rPr>
            </w:pPr>
            <w:r>
              <w:rPr>
                <w:rFonts w:ascii="Times New Roman" w:hAnsi="Times New Roman" w:cs="Times New Roman"/>
                <w:color w:val="#000000"/>
                <w:sz w:val="24"/>
                <w:szCs w:val="24"/>
              </w:rPr>
              <w:t> 4.	Планирование задач спринта</w:t>
            </w:r>
          </w:p>
          <w:p>
            <w:pPr>
              <w:jc w:val="both"/>
              <w:spacing w:after="0" w:line="240" w:lineRule="auto"/>
              <w:rPr>
                <w:sz w:val="24"/>
                <w:szCs w:val="24"/>
              </w:rPr>
            </w:pPr>
            <w:r>
              <w:rPr>
                <w:rFonts w:ascii="Times New Roman" w:hAnsi="Times New Roman" w:cs="Times New Roman"/>
                <w:color w:val="#000000"/>
                <w:sz w:val="24"/>
                <w:szCs w:val="24"/>
              </w:rPr>
              <w:t> 5.	Оценка трудозатрат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интерфейса пользователя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Раскадровка</w:t>
            </w:r>
          </w:p>
          <w:p>
            <w:pPr>
              <w:jc w:val="both"/>
              <w:spacing w:after="0" w:line="240" w:lineRule="auto"/>
              <w:rPr>
                <w:sz w:val="24"/>
                <w:szCs w:val="24"/>
              </w:rPr>
            </w:pPr>
            <w:r>
              <w:rPr>
                <w:rFonts w:ascii="Times New Roman" w:hAnsi="Times New Roman" w:cs="Times New Roman"/>
                <w:color w:val="#000000"/>
                <w:sz w:val="24"/>
                <w:szCs w:val="24"/>
              </w:rPr>
              <w:t> 2.	Презентация интерфейса</w:t>
            </w:r>
          </w:p>
          <w:p>
            <w:pPr>
              <w:jc w:val="both"/>
              <w:spacing w:after="0" w:line="240" w:lineRule="auto"/>
              <w:rPr>
                <w:sz w:val="24"/>
                <w:szCs w:val="24"/>
              </w:rPr>
            </w:pPr>
            <w:r>
              <w:rPr>
                <w:rFonts w:ascii="Times New Roman" w:hAnsi="Times New Roman" w:cs="Times New Roman"/>
                <w:color w:val="#000000"/>
                <w:sz w:val="24"/>
                <w:szCs w:val="24"/>
              </w:rPr>
              <w:t> 3.	Связываение раскадровки с рабочим элементом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базой данных в автономном режиме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проекта базы данных</w:t>
            </w:r>
          </w:p>
          <w:p>
            <w:pPr>
              <w:jc w:val="both"/>
              <w:spacing w:after="0" w:line="240" w:lineRule="auto"/>
              <w:rPr>
                <w:sz w:val="24"/>
                <w:szCs w:val="24"/>
              </w:rPr>
            </w:pPr>
            <w:r>
              <w:rPr>
                <w:rFonts w:ascii="Times New Roman" w:hAnsi="Times New Roman" w:cs="Times New Roman"/>
                <w:color w:val="#000000"/>
                <w:sz w:val="24"/>
                <w:szCs w:val="24"/>
              </w:rPr>
              <w:t> Модификация базы данных</w:t>
            </w:r>
          </w:p>
          <w:p>
            <w:pPr>
              <w:jc w:val="both"/>
              <w:spacing w:after="0" w:line="240" w:lineRule="auto"/>
              <w:rPr>
                <w:sz w:val="24"/>
                <w:szCs w:val="24"/>
              </w:rPr>
            </w:pPr>
            <w:r>
              <w:rPr>
                <w:rFonts w:ascii="Times New Roman" w:hAnsi="Times New Roman" w:cs="Times New Roman"/>
                <w:color w:val="#000000"/>
                <w:sz w:val="24"/>
                <w:szCs w:val="24"/>
              </w:rPr>
              <w:t> Развертывание тестовой базы данных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Функциональная декомпозиция КИС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2.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корпоративного типа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Корпоративные вычислительные ресурсы и платформы.</w:t>
            </w:r>
          </w:p>
          <w:p>
            <w:pPr>
              <w:jc w:val="both"/>
              <w:spacing w:after="0" w:line="240" w:lineRule="auto"/>
              <w:rPr>
                <w:sz w:val="24"/>
                <w:szCs w:val="24"/>
              </w:rPr>
            </w:pPr>
            <w:r>
              <w:rPr>
                <w:rFonts w:ascii="Times New Roman" w:hAnsi="Times New Roman" w:cs="Times New Roman"/>
                <w:color w:val="#000000"/>
                <w:sz w:val="24"/>
                <w:szCs w:val="24"/>
              </w:rPr>
              <w:t> 2.	Центры обработки данных (ЦОД).</w:t>
            </w:r>
          </w:p>
          <w:p>
            <w:pPr>
              <w:jc w:val="both"/>
              <w:spacing w:after="0" w:line="240" w:lineRule="auto"/>
              <w:rPr>
                <w:sz w:val="24"/>
                <w:szCs w:val="24"/>
              </w:rPr>
            </w:pPr>
            <w:r>
              <w:rPr>
                <w:rFonts w:ascii="Times New Roman" w:hAnsi="Times New Roman" w:cs="Times New Roman"/>
                <w:color w:val="#000000"/>
                <w:sz w:val="24"/>
                <w:szCs w:val="24"/>
              </w:rPr>
              <w:t> 3.	Корпоративные информационные ресурсы (базы данных, хранилища данных)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внедрения КИС в различных методологиях  (деловая игра)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Microsoft: «MSF». Группа В пытается построить проект внедрения ИС на основе методологии компании SAP: «Процедурная модель SAP».</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КИС</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систем на промышленных предприятиях материального производства.</w:t>
            </w:r>
          </w:p>
          <w:p>
            <w:pPr>
              <w:jc w:val="both"/>
              <w:spacing w:after="0" w:line="240" w:lineRule="auto"/>
              <w:rPr>
                <w:sz w:val="24"/>
                <w:szCs w:val="24"/>
              </w:rPr>
            </w:pPr>
            <w:r>
              <w:rPr>
                <w:rFonts w:ascii="Times New Roman" w:hAnsi="Times New Roman" w:cs="Times New Roman"/>
                <w:color w:val="#000000"/>
                <w:sz w:val="24"/>
                <w:szCs w:val="24"/>
              </w:rPr>
              <w:t> Сервис-ориентированная архитектура КИС, облачные вычисления.</w:t>
            </w:r>
          </w:p>
          <w:p>
            <w:pPr>
              <w:jc w:val="both"/>
              <w:spacing w:after="0" w:line="240" w:lineRule="auto"/>
              <w:rPr>
                <w:sz w:val="24"/>
                <w:szCs w:val="24"/>
              </w:rPr>
            </w:pPr>
            <w:r>
              <w:rPr>
                <w:rFonts w:ascii="Times New Roman" w:hAnsi="Times New Roman" w:cs="Times New Roman"/>
                <w:color w:val="#000000"/>
                <w:sz w:val="24"/>
                <w:szCs w:val="24"/>
              </w:rPr>
              <w:t> CASE-технологии создания КИС</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https://urait.ru/bcode/425572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44.19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Рыбников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978-5-534-00623-0.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https://urait.ru/bcode/399052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2023-2024_ФГОС3++2023_Бак-ОФО-ПИ(23)_plx_Корпоративные информационные системы</dc:title>
  <dc:creator>FastReport.NET</dc:creator>
</cp:coreProperties>
</file>